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C0A" w:rsidRPr="00162C0A" w:rsidRDefault="00162C0A" w:rsidP="00162C0A">
      <w:pPr>
        <w:jc w:val="center"/>
        <w:rPr>
          <w:rFonts w:asciiTheme="minorHAnsi" w:hAnsiTheme="minorHAnsi"/>
          <w:b/>
          <w:i/>
          <w:sz w:val="36"/>
          <w:szCs w:val="36"/>
        </w:rPr>
      </w:pPr>
      <w:r w:rsidRPr="00162C0A">
        <w:rPr>
          <w:rFonts w:asciiTheme="minorHAnsi" w:hAnsiTheme="minorHAnsi"/>
          <w:b/>
          <w:i/>
          <w:sz w:val="36"/>
          <w:szCs w:val="36"/>
        </w:rPr>
        <w:t>ATIVAÇÃO, ANIMAÇÃO E DINAMIZAÇÃO DO PATRIMÓNIO CULTURAL IMATERIAL DO ALENTEJO E DO RIBATEJO</w:t>
      </w:r>
    </w:p>
    <w:p w:rsidR="00162C0A" w:rsidRDefault="00162C0A" w:rsidP="00162C0A">
      <w:pPr>
        <w:jc w:val="both"/>
        <w:rPr>
          <w:rFonts w:asciiTheme="minorHAnsi" w:hAnsiTheme="minorHAnsi"/>
          <w:b/>
          <w:i/>
          <w:sz w:val="28"/>
          <w:szCs w:val="28"/>
        </w:rPr>
      </w:pPr>
    </w:p>
    <w:p w:rsidR="00195DD6" w:rsidRPr="00F975A8" w:rsidRDefault="00195DD6" w:rsidP="00195DD6">
      <w:pPr>
        <w:jc w:val="center"/>
        <w:rPr>
          <w:i/>
          <w:sz w:val="22"/>
          <w:szCs w:val="22"/>
        </w:rPr>
      </w:pPr>
      <w:r w:rsidRPr="00F975A8">
        <w:rPr>
          <w:i/>
          <w:sz w:val="22"/>
          <w:szCs w:val="22"/>
        </w:rPr>
        <w:t>AVISO DE CONCURSO PARA APRESENTAÇÃO DE CANDIDATURAS</w:t>
      </w:r>
    </w:p>
    <w:p w:rsidR="00195DD6" w:rsidRPr="00F975A8" w:rsidRDefault="00195DD6" w:rsidP="00195DD6">
      <w:pPr>
        <w:jc w:val="center"/>
        <w:rPr>
          <w:i/>
          <w:sz w:val="22"/>
          <w:szCs w:val="22"/>
        </w:rPr>
      </w:pPr>
      <w:r w:rsidRPr="00F975A8">
        <w:rPr>
          <w:i/>
          <w:sz w:val="22"/>
          <w:szCs w:val="22"/>
        </w:rPr>
        <w:t>AVISO Nº ALT20‐14‐2016‐11</w:t>
      </w:r>
    </w:p>
    <w:p w:rsidR="00195DD6" w:rsidRPr="00F975A8" w:rsidRDefault="00195DD6" w:rsidP="00195DD6">
      <w:pPr>
        <w:jc w:val="center"/>
        <w:rPr>
          <w:i/>
          <w:sz w:val="22"/>
          <w:szCs w:val="22"/>
        </w:rPr>
      </w:pPr>
      <w:r w:rsidRPr="00F975A8">
        <w:rPr>
          <w:i/>
          <w:sz w:val="22"/>
          <w:szCs w:val="22"/>
        </w:rPr>
        <w:t>PATRIMÓNIO NATURAL E CULTURAL</w:t>
      </w:r>
    </w:p>
    <w:p w:rsidR="00195DD6" w:rsidRDefault="00195DD6" w:rsidP="00195DD6">
      <w:pPr>
        <w:jc w:val="center"/>
        <w:rPr>
          <w:b/>
          <w:sz w:val="28"/>
          <w:szCs w:val="28"/>
        </w:rPr>
      </w:pPr>
    </w:p>
    <w:p w:rsidR="00195DD6" w:rsidRPr="00162C0A" w:rsidRDefault="00195DD6" w:rsidP="00195DD6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015527">
        <w:rPr>
          <w:b/>
          <w:i/>
          <w:noProof/>
          <w:sz w:val="28"/>
          <w:szCs w:val="28"/>
        </w:rPr>
        <w:drawing>
          <wp:inline distT="0" distB="0" distL="0" distR="0" wp14:anchorId="5E089832" wp14:editId="0AC3A5E3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C0A" w:rsidRPr="00162C0A" w:rsidRDefault="00162C0A" w:rsidP="00053C0B">
      <w:pPr>
        <w:spacing w:line="276" w:lineRule="auto"/>
        <w:jc w:val="both"/>
        <w:rPr>
          <w:rFonts w:asciiTheme="minorHAnsi" w:hAnsiTheme="minorHAnsi"/>
          <w:b/>
        </w:rPr>
      </w:pPr>
    </w:p>
    <w:p w:rsidR="00382369" w:rsidRPr="00162C0A" w:rsidRDefault="00162C0A" w:rsidP="00162C0A">
      <w:pPr>
        <w:jc w:val="center"/>
        <w:rPr>
          <w:rFonts w:asciiTheme="minorHAnsi" w:hAnsiTheme="minorHAnsi"/>
          <w:b/>
          <w:sz w:val="28"/>
          <w:szCs w:val="28"/>
        </w:rPr>
      </w:pPr>
      <w:r w:rsidRPr="00162C0A">
        <w:rPr>
          <w:rFonts w:asciiTheme="minorHAnsi" w:hAnsiTheme="minorHAnsi"/>
          <w:b/>
          <w:sz w:val="28"/>
          <w:szCs w:val="28"/>
        </w:rPr>
        <w:t xml:space="preserve">DEMONSTRAÇÃO DA SUSTENTABILIDADE DA OPERAÇÃO APÓS A REALIZAÇÃO DO INVESTIMENTO </w:t>
      </w:r>
    </w:p>
    <w:p w:rsidR="00053C0B" w:rsidRPr="00162C0A" w:rsidRDefault="00053C0B" w:rsidP="00053C0B">
      <w:pPr>
        <w:spacing w:line="276" w:lineRule="auto"/>
        <w:jc w:val="both"/>
        <w:rPr>
          <w:rFonts w:asciiTheme="minorHAnsi" w:hAnsiTheme="minorHAnsi"/>
        </w:rPr>
      </w:pPr>
    </w:p>
    <w:p w:rsidR="00A51E74" w:rsidRPr="00162C0A" w:rsidRDefault="0061227E" w:rsidP="00590A66">
      <w:pPr>
        <w:spacing w:before="120" w:line="276" w:lineRule="auto"/>
        <w:jc w:val="both"/>
        <w:rPr>
          <w:rFonts w:asciiTheme="minorHAnsi" w:hAnsiTheme="minorHAnsi"/>
        </w:rPr>
      </w:pPr>
      <w:r w:rsidRPr="00162C0A">
        <w:rPr>
          <w:rFonts w:asciiTheme="minorHAnsi" w:hAnsiTheme="minorHAnsi"/>
        </w:rPr>
        <w:t>A sustentabilidade do catálogo de experiências turísticas baseadas no</w:t>
      </w:r>
      <w:r w:rsidR="00A51E74" w:rsidRPr="00162C0A">
        <w:rPr>
          <w:rFonts w:asciiTheme="minorHAnsi" w:hAnsiTheme="minorHAnsi"/>
        </w:rPr>
        <w:t xml:space="preserve"> Património Cultural Imaterial </w:t>
      </w:r>
      <w:r w:rsidRPr="00162C0A">
        <w:rPr>
          <w:rFonts w:asciiTheme="minorHAnsi" w:hAnsiTheme="minorHAnsi"/>
        </w:rPr>
        <w:t>do Alentejo e Ribatejo, após o encerramento do projeto,</w:t>
      </w:r>
      <w:r w:rsidR="00CE54A8" w:rsidRPr="00162C0A">
        <w:rPr>
          <w:rFonts w:asciiTheme="minorHAnsi" w:hAnsiTheme="minorHAnsi"/>
        </w:rPr>
        <w:t xml:space="preserve"> terá</w:t>
      </w:r>
      <w:r w:rsidR="003D67EB" w:rsidRPr="00162C0A">
        <w:rPr>
          <w:rFonts w:asciiTheme="minorHAnsi" w:hAnsiTheme="minorHAnsi"/>
        </w:rPr>
        <w:t xml:space="preserve"> por base</w:t>
      </w:r>
      <w:r w:rsidRPr="00162C0A">
        <w:rPr>
          <w:rFonts w:asciiTheme="minorHAnsi" w:hAnsiTheme="minorHAnsi"/>
        </w:rPr>
        <w:t>:</w:t>
      </w:r>
    </w:p>
    <w:p w:rsidR="003D67EB" w:rsidRDefault="003D67EB" w:rsidP="0061227E">
      <w:pPr>
        <w:pStyle w:val="PargrafodaLista"/>
        <w:numPr>
          <w:ilvl w:val="0"/>
          <w:numId w:val="4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 w:rsidRPr="00162C0A">
        <w:rPr>
          <w:rFonts w:asciiTheme="minorHAnsi" w:hAnsiTheme="minorHAnsi"/>
        </w:rPr>
        <w:t>uma</w:t>
      </w:r>
      <w:proofErr w:type="gramEnd"/>
      <w:r w:rsidRPr="00162C0A">
        <w:rPr>
          <w:rFonts w:asciiTheme="minorHAnsi" w:hAnsiTheme="minorHAnsi"/>
        </w:rPr>
        <w:t xml:space="preserve"> gestão clara e eficaz do</w:t>
      </w:r>
      <w:r w:rsidR="0061227E" w:rsidRPr="00162C0A">
        <w:rPr>
          <w:rFonts w:asciiTheme="minorHAnsi" w:hAnsiTheme="minorHAnsi"/>
        </w:rPr>
        <w:t xml:space="preserve"> conceito de</w:t>
      </w:r>
      <w:r w:rsidRPr="00162C0A">
        <w:rPr>
          <w:rFonts w:asciiTheme="minorHAnsi" w:hAnsiTheme="minorHAnsi"/>
        </w:rPr>
        <w:t xml:space="preserve"> catálogo de experiências turística</w:t>
      </w:r>
      <w:r w:rsidR="0061227E">
        <w:rPr>
          <w:rFonts w:asciiTheme="minorHAnsi" w:hAnsiTheme="minorHAnsi"/>
        </w:rPr>
        <w:t xml:space="preserve"> baseadas no PCI,</w:t>
      </w:r>
      <w:r w:rsidRPr="003D67EB">
        <w:rPr>
          <w:rFonts w:asciiTheme="minorHAnsi" w:hAnsiTheme="minorHAnsi"/>
        </w:rPr>
        <w:t xml:space="preserve"> de </w:t>
      </w:r>
      <w:r w:rsidR="0061227E">
        <w:rPr>
          <w:rFonts w:asciiTheme="minorHAnsi" w:hAnsiTheme="minorHAnsi"/>
        </w:rPr>
        <w:t>mod</w:t>
      </w:r>
      <w:r w:rsidRPr="003D67EB">
        <w:rPr>
          <w:rFonts w:asciiTheme="minorHAnsi" w:hAnsiTheme="minorHAnsi"/>
        </w:rPr>
        <w:t>o a garantir a sustentabilidade das iniciativas de negócio e a salvaguarda das expressões culturais</w:t>
      </w:r>
      <w:r w:rsidR="00CE54A8">
        <w:rPr>
          <w:rFonts w:asciiTheme="minorHAnsi" w:hAnsiTheme="minorHAnsi"/>
        </w:rPr>
        <w:t>;</w:t>
      </w:r>
    </w:p>
    <w:p w:rsidR="003D67EB" w:rsidRDefault="0061227E" w:rsidP="0061227E">
      <w:pPr>
        <w:pStyle w:val="PargrafodaLista"/>
        <w:numPr>
          <w:ilvl w:val="0"/>
          <w:numId w:val="4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</w:t>
      </w:r>
      <w:proofErr w:type="gramEnd"/>
      <w:r>
        <w:rPr>
          <w:rFonts w:asciiTheme="minorHAnsi" w:hAnsiTheme="minorHAnsi"/>
        </w:rPr>
        <w:t xml:space="preserve"> definição de critérios de seleção e de</w:t>
      </w:r>
      <w:r w:rsidR="00CE54A8">
        <w:rPr>
          <w:rFonts w:asciiTheme="minorHAnsi" w:hAnsiTheme="minorHAnsi"/>
        </w:rPr>
        <w:t xml:space="preserve"> acreditação das experiências</w:t>
      </w:r>
      <w:r>
        <w:rPr>
          <w:rFonts w:asciiTheme="minorHAnsi" w:hAnsiTheme="minorHAnsi"/>
        </w:rPr>
        <w:t xml:space="preserve"> turísticas</w:t>
      </w:r>
      <w:r w:rsidR="00CE54A8">
        <w:rPr>
          <w:rFonts w:asciiTheme="minorHAnsi" w:hAnsiTheme="minorHAnsi"/>
        </w:rPr>
        <w:t xml:space="preserve"> que vierem a integrar o catálogo;</w:t>
      </w:r>
    </w:p>
    <w:p w:rsidR="00CE54A8" w:rsidRDefault="00CE54A8" w:rsidP="0061227E">
      <w:pPr>
        <w:pStyle w:val="PargrafodaLista"/>
        <w:numPr>
          <w:ilvl w:val="0"/>
          <w:numId w:val="4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</w:t>
      </w:r>
      <w:proofErr w:type="gramEnd"/>
      <w:r>
        <w:rPr>
          <w:rFonts w:asciiTheme="minorHAnsi" w:hAnsiTheme="minorHAnsi"/>
        </w:rPr>
        <w:t xml:space="preserve"> concretização de </w:t>
      </w:r>
      <w:r w:rsidR="0061227E">
        <w:rPr>
          <w:rFonts w:asciiTheme="minorHAnsi" w:hAnsiTheme="minorHAnsi"/>
        </w:rPr>
        <w:t>um conjunto de iniciativas de comunicação,</w:t>
      </w:r>
      <w:r>
        <w:rPr>
          <w:rFonts w:asciiTheme="minorHAnsi" w:hAnsiTheme="minorHAnsi"/>
        </w:rPr>
        <w:t xml:space="preserve"> </w:t>
      </w:r>
      <w:r w:rsidRPr="0061227E">
        <w:rPr>
          <w:rFonts w:asciiTheme="minorHAnsi" w:hAnsiTheme="minorHAnsi"/>
          <w:i/>
        </w:rPr>
        <w:t>marketing</w:t>
      </w:r>
      <w:r>
        <w:rPr>
          <w:rFonts w:asciiTheme="minorHAnsi" w:hAnsiTheme="minorHAnsi"/>
        </w:rPr>
        <w:t xml:space="preserve"> </w:t>
      </w:r>
      <w:r w:rsidR="0061227E">
        <w:rPr>
          <w:rFonts w:asciiTheme="minorHAnsi" w:hAnsiTheme="minorHAnsi"/>
        </w:rPr>
        <w:t xml:space="preserve">e venda do catálogo </w:t>
      </w:r>
      <w:r>
        <w:rPr>
          <w:rFonts w:asciiTheme="minorHAnsi" w:hAnsiTheme="minorHAnsi"/>
        </w:rPr>
        <w:t>que permitam alcançar visibilidade junto de segmentos de mercado turístico com apetência por este tipo de produtos turísticos;</w:t>
      </w:r>
    </w:p>
    <w:p w:rsidR="00CE54A8" w:rsidRPr="003D67EB" w:rsidRDefault="0061227E" w:rsidP="0061227E">
      <w:pPr>
        <w:pStyle w:val="PargrafodaLista"/>
        <w:numPr>
          <w:ilvl w:val="0"/>
          <w:numId w:val="4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um</w:t>
      </w:r>
      <w:proofErr w:type="gramEnd"/>
      <w:r>
        <w:rPr>
          <w:rFonts w:asciiTheme="minorHAnsi" w:hAnsiTheme="minorHAnsi"/>
        </w:rPr>
        <w:t xml:space="preserve"> sistema de</w:t>
      </w:r>
      <w:r w:rsidR="00CE54A8">
        <w:rPr>
          <w:rFonts w:asciiTheme="minorHAnsi" w:hAnsiTheme="minorHAnsi"/>
        </w:rPr>
        <w:t xml:space="preserve"> monitori</w:t>
      </w:r>
      <w:r w:rsidR="00195DD6">
        <w:rPr>
          <w:rFonts w:asciiTheme="minorHAnsi" w:hAnsiTheme="minorHAnsi"/>
        </w:rPr>
        <w:t xml:space="preserve">zação permanente do cumprimento, que servirá de base de governança deste novo itinerário turístico e de articulação com a monitorização </w:t>
      </w:r>
      <w:r w:rsidR="00CE54A8">
        <w:rPr>
          <w:rFonts w:asciiTheme="minorHAnsi" w:hAnsiTheme="minorHAnsi"/>
        </w:rPr>
        <w:t>das diretivas da Convenção da UNESCO de 2003 de Salvaguarda do Património Cult</w:t>
      </w:r>
      <w:r w:rsidR="00195DD6">
        <w:rPr>
          <w:rFonts w:asciiTheme="minorHAnsi" w:hAnsiTheme="minorHAnsi"/>
        </w:rPr>
        <w:t>ural Imaterial, que cada promotor responsável deverá assumir.</w:t>
      </w:r>
    </w:p>
    <w:p w:rsidR="006A0F5E" w:rsidRDefault="006A0F5E" w:rsidP="00590A66">
      <w:pPr>
        <w:spacing w:before="120" w:line="276" w:lineRule="auto"/>
        <w:jc w:val="both"/>
        <w:rPr>
          <w:rFonts w:asciiTheme="minorHAnsi" w:hAnsiTheme="minorHAnsi"/>
        </w:rPr>
      </w:pPr>
    </w:p>
    <w:p w:rsidR="00CE54A8" w:rsidRDefault="006A0F5E" w:rsidP="00590A66">
      <w:pPr>
        <w:spacing w:before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Concretizam-se</w:t>
      </w:r>
      <w:r w:rsidR="0061227E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de seguida</w:t>
      </w:r>
      <w:r w:rsidR="0061227E">
        <w:rPr>
          <w:rFonts w:asciiTheme="minorHAnsi" w:hAnsiTheme="minorHAnsi"/>
        </w:rPr>
        <w:t>, cada uma das</w:t>
      </w:r>
      <w:r>
        <w:rPr>
          <w:rFonts w:asciiTheme="minorHAnsi" w:hAnsiTheme="minorHAnsi"/>
        </w:rPr>
        <w:t xml:space="preserve"> </w:t>
      </w:r>
      <w:r w:rsidR="0061227E">
        <w:rPr>
          <w:rFonts w:asciiTheme="minorHAnsi" w:hAnsiTheme="minorHAnsi"/>
        </w:rPr>
        <w:t>quatro</w:t>
      </w:r>
      <w:r>
        <w:rPr>
          <w:rFonts w:asciiTheme="minorHAnsi" w:hAnsiTheme="minorHAnsi"/>
        </w:rPr>
        <w:t xml:space="preserve"> premissas de sustentabilidade</w:t>
      </w:r>
      <w:r w:rsidR="0061227E">
        <w:rPr>
          <w:rFonts w:asciiTheme="minorHAnsi" w:hAnsiTheme="minorHAnsi"/>
        </w:rPr>
        <w:t xml:space="preserve"> da operação após o término do investimento</w:t>
      </w:r>
      <w:r>
        <w:rPr>
          <w:rFonts w:asciiTheme="minorHAnsi" w:hAnsiTheme="minorHAnsi"/>
        </w:rPr>
        <w:t>:</w:t>
      </w:r>
    </w:p>
    <w:p w:rsidR="00CE54A8" w:rsidRDefault="00CE54A8" w:rsidP="006A0F5E">
      <w:pPr>
        <w:pStyle w:val="PargrafodaLista"/>
        <w:numPr>
          <w:ilvl w:val="0"/>
          <w:numId w:val="3"/>
        </w:numPr>
        <w:spacing w:before="120" w:line="276" w:lineRule="auto"/>
        <w:jc w:val="both"/>
        <w:rPr>
          <w:rFonts w:asciiTheme="minorHAnsi" w:hAnsiTheme="minorHAnsi"/>
        </w:rPr>
      </w:pPr>
      <w:r w:rsidRPr="006A0F5E">
        <w:rPr>
          <w:rFonts w:asciiTheme="minorHAnsi" w:hAnsiTheme="minorHAnsi"/>
        </w:rPr>
        <w:t xml:space="preserve">A gestão do catálogo de experiências turísticas permitirá às entidades que desenvolvem negócios com base no PCI </w:t>
      </w:r>
      <w:r w:rsidR="0061227E">
        <w:rPr>
          <w:rFonts w:asciiTheme="minorHAnsi" w:hAnsiTheme="minorHAnsi"/>
        </w:rPr>
        <w:t xml:space="preserve">do Alentejo e Ribatejo </w:t>
      </w:r>
      <w:r w:rsidRPr="006A0F5E">
        <w:rPr>
          <w:rFonts w:asciiTheme="minorHAnsi" w:hAnsiTheme="minorHAnsi"/>
        </w:rPr>
        <w:t xml:space="preserve">adquirir vantagens competitivas e de </w:t>
      </w:r>
      <w:r w:rsidRPr="0061227E">
        <w:rPr>
          <w:rFonts w:asciiTheme="minorHAnsi" w:hAnsiTheme="minorHAnsi"/>
          <w:i/>
        </w:rPr>
        <w:t xml:space="preserve">marketing </w:t>
      </w:r>
      <w:r w:rsidRPr="006A0F5E">
        <w:rPr>
          <w:rFonts w:asciiTheme="minorHAnsi" w:hAnsiTheme="minorHAnsi"/>
        </w:rPr>
        <w:t xml:space="preserve">na diferenciação dos seus produtos e serviços, decorrentes da capacidade de promoção da entidade gestora do catálogo por via dos múltiplos meios e plataformas de comunicação. Acresce ainda a associação a uma intervenção de valorização do PCI à escala de uma </w:t>
      </w:r>
      <w:r w:rsidR="0061227E">
        <w:rPr>
          <w:rFonts w:asciiTheme="minorHAnsi" w:hAnsiTheme="minorHAnsi"/>
        </w:rPr>
        <w:t>r</w:t>
      </w:r>
      <w:r w:rsidRPr="006A0F5E">
        <w:rPr>
          <w:rFonts w:asciiTheme="minorHAnsi" w:hAnsiTheme="minorHAnsi"/>
        </w:rPr>
        <w:t>egião cuja promoção se baseia na diferenciação e identidade dos seus valores e recursos.</w:t>
      </w:r>
    </w:p>
    <w:p w:rsidR="00162C0A" w:rsidRDefault="00162C0A" w:rsidP="00162C0A">
      <w:pPr>
        <w:pStyle w:val="PargrafodaLista"/>
        <w:spacing w:before="120" w:line="276" w:lineRule="auto"/>
        <w:jc w:val="both"/>
        <w:rPr>
          <w:rFonts w:asciiTheme="minorHAnsi" w:hAnsiTheme="minorHAnsi"/>
        </w:rPr>
      </w:pPr>
    </w:p>
    <w:p w:rsidR="00AB362E" w:rsidRDefault="00CE54A8" w:rsidP="00063B43">
      <w:pPr>
        <w:pStyle w:val="PargrafodaLista"/>
        <w:numPr>
          <w:ilvl w:val="0"/>
          <w:numId w:val="3"/>
        </w:numPr>
        <w:spacing w:before="120" w:line="276" w:lineRule="auto"/>
        <w:jc w:val="both"/>
        <w:rPr>
          <w:rFonts w:asciiTheme="minorHAnsi" w:hAnsiTheme="minorHAnsi"/>
        </w:rPr>
      </w:pPr>
      <w:r w:rsidRPr="00AB362E">
        <w:rPr>
          <w:rFonts w:asciiTheme="minorHAnsi" w:hAnsiTheme="minorHAnsi"/>
        </w:rPr>
        <w:t xml:space="preserve">A integração no catálogo de experiências turísticas com base no PCI </w:t>
      </w:r>
      <w:r w:rsidR="00221202" w:rsidRPr="00AB362E">
        <w:rPr>
          <w:rFonts w:asciiTheme="minorHAnsi" w:hAnsiTheme="minorHAnsi"/>
        </w:rPr>
        <w:t xml:space="preserve">do Alentejo e Ribatejo resulta num processo prévio de </w:t>
      </w:r>
      <w:r w:rsidR="00221202" w:rsidRPr="00AB362E">
        <w:rPr>
          <w:rFonts w:asciiTheme="minorHAnsi" w:hAnsiTheme="minorHAnsi"/>
          <w:u w:val="single"/>
        </w:rPr>
        <w:t>seleção e</w:t>
      </w:r>
      <w:r w:rsidRPr="00AB362E">
        <w:rPr>
          <w:rFonts w:asciiTheme="minorHAnsi" w:hAnsiTheme="minorHAnsi"/>
          <w:u w:val="single"/>
        </w:rPr>
        <w:t xml:space="preserve"> acreditação das iniciativas</w:t>
      </w:r>
      <w:r w:rsidRPr="00AB362E">
        <w:rPr>
          <w:rFonts w:asciiTheme="minorHAnsi" w:hAnsiTheme="minorHAnsi"/>
        </w:rPr>
        <w:t xml:space="preserve"> aí constantes e beneficia dos materiais promocionais que se venham a conceber e editar no quadro deste projeto. Garante ainda a possibilidade de usufruir de um serviço de</w:t>
      </w:r>
      <w:r w:rsidR="00221202" w:rsidRPr="00AB362E">
        <w:rPr>
          <w:rFonts w:asciiTheme="minorHAnsi" w:hAnsiTheme="minorHAnsi"/>
        </w:rPr>
        <w:t xml:space="preserve"> acompanhamento e de</w:t>
      </w:r>
      <w:r w:rsidRPr="00AB362E">
        <w:rPr>
          <w:rFonts w:asciiTheme="minorHAnsi" w:hAnsiTheme="minorHAnsi"/>
        </w:rPr>
        <w:t xml:space="preserve"> intermediação prestado pela entidade </w:t>
      </w:r>
      <w:r w:rsidRPr="00AB362E">
        <w:rPr>
          <w:rFonts w:asciiTheme="minorHAnsi" w:hAnsiTheme="minorHAnsi"/>
        </w:rPr>
        <w:lastRenderedPageBreak/>
        <w:t xml:space="preserve">gestora do Catálogo, </w:t>
      </w:r>
      <w:r w:rsidR="00221202" w:rsidRPr="00AB362E">
        <w:rPr>
          <w:rFonts w:asciiTheme="minorHAnsi" w:hAnsiTheme="minorHAnsi"/>
        </w:rPr>
        <w:t xml:space="preserve">Turismo do Alentejo ERT, </w:t>
      </w:r>
      <w:r w:rsidRPr="00AB362E">
        <w:rPr>
          <w:rFonts w:asciiTheme="minorHAnsi" w:hAnsiTheme="minorHAnsi"/>
        </w:rPr>
        <w:t>junto dos</w:t>
      </w:r>
      <w:r w:rsidR="00221202" w:rsidRPr="00AB362E">
        <w:rPr>
          <w:rFonts w:asciiTheme="minorHAnsi" w:hAnsiTheme="minorHAnsi"/>
        </w:rPr>
        <w:t xml:space="preserve"> vários</w:t>
      </w:r>
      <w:r w:rsidRPr="00AB362E">
        <w:rPr>
          <w:rFonts w:asciiTheme="minorHAnsi" w:hAnsiTheme="minorHAnsi"/>
        </w:rPr>
        <w:t xml:space="preserve"> agentes regionais e </w:t>
      </w:r>
      <w:r w:rsidR="00221202" w:rsidRPr="00AB362E">
        <w:rPr>
          <w:rFonts w:asciiTheme="minorHAnsi" w:hAnsiTheme="minorHAnsi"/>
        </w:rPr>
        <w:t xml:space="preserve">dos </w:t>
      </w:r>
      <w:r w:rsidRPr="00AB362E">
        <w:rPr>
          <w:rFonts w:asciiTheme="minorHAnsi" w:hAnsiTheme="minorHAnsi"/>
        </w:rPr>
        <w:t xml:space="preserve">operadores turísticos, no sentido de promover parcerias, programas ou quaisquer outras formas de colaboração </w:t>
      </w:r>
      <w:r w:rsidR="00221202" w:rsidRPr="00AB362E">
        <w:rPr>
          <w:rFonts w:asciiTheme="minorHAnsi" w:hAnsiTheme="minorHAnsi"/>
        </w:rPr>
        <w:t xml:space="preserve">e sinergias </w:t>
      </w:r>
      <w:r w:rsidRPr="00AB362E">
        <w:rPr>
          <w:rFonts w:asciiTheme="minorHAnsi" w:hAnsiTheme="minorHAnsi"/>
        </w:rPr>
        <w:t>que se considerem ser de interesse para o desenvolvimento regional.</w:t>
      </w:r>
      <w:r w:rsidR="00AB362E" w:rsidRPr="00AB362E">
        <w:rPr>
          <w:rFonts w:asciiTheme="minorHAnsi" w:hAnsiTheme="minorHAnsi"/>
        </w:rPr>
        <w:t xml:space="preserve"> Finalmente, haverá ainda um processo de</w:t>
      </w:r>
      <w:r w:rsidR="00AB362E">
        <w:rPr>
          <w:rFonts w:asciiTheme="minorHAnsi" w:hAnsiTheme="minorHAnsi"/>
        </w:rPr>
        <w:t xml:space="preserve"> acompanhamento do processo de criação de novos</w:t>
      </w:r>
      <w:r w:rsidR="00AB362E" w:rsidRPr="00AB362E">
        <w:rPr>
          <w:rFonts w:asciiTheme="minorHAnsi" w:hAnsiTheme="minorHAnsi"/>
        </w:rPr>
        <w:t xml:space="preserve"> negócios, </w:t>
      </w:r>
      <w:r w:rsidR="00AB362E">
        <w:rPr>
          <w:rFonts w:asciiTheme="minorHAnsi" w:hAnsiTheme="minorHAnsi"/>
        </w:rPr>
        <w:t xml:space="preserve">que deve incluir </w:t>
      </w:r>
      <w:r w:rsidR="00AB362E" w:rsidRPr="00AB362E">
        <w:rPr>
          <w:rFonts w:asciiTheme="minorHAnsi" w:hAnsiTheme="minorHAnsi"/>
        </w:rPr>
        <w:t>o apoio à realização de planos de viabilidade para as</w:t>
      </w:r>
      <w:r w:rsidR="00AB362E">
        <w:rPr>
          <w:rFonts w:asciiTheme="minorHAnsi" w:hAnsiTheme="minorHAnsi"/>
        </w:rPr>
        <w:t xml:space="preserve"> diversas</w:t>
      </w:r>
      <w:r w:rsidR="00AB362E" w:rsidRPr="00AB362E">
        <w:rPr>
          <w:rFonts w:asciiTheme="minorHAnsi" w:hAnsiTheme="minorHAnsi"/>
        </w:rPr>
        <w:t xml:space="preserve"> iniciativas</w:t>
      </w:r>
      <w:r w:rsidR="00AB362E">
        <w:rPr>
          <w:rFonts w:asciiTheme="minorHAnsi" w:hAnsiTheme="minorHAnsi"/>
        </w:rPr>
        <w:t xml:space="preserve"> empresariais, um elemento</w:t>
      </w:r>
      <w:r w:rsidR="00AB362E" w:rsidRPr="00AB362E">
        <w:rPr>
          <w:rFonts w:asciiTheme="minorHAnsi" w:hAnsiTheme="minorHAnsi"/>
        </w:rPr>
        <w:t xml:space="preserve"> fundamental para </w:t>
      </w:r>
      <w:r w:rsidR="00AB362E">
        <w:rPr>
          <w:rFonts w:asciiTheme="minorHAnsi" w:hAnsiTheme="minorHAnsi"/>
        </w:rPr>
        <w:t xml:space="preserve">assegurar </w:t>
      </w:r>
      <w:r w:rsidR="00AB362E" w:rsidRPr="00AB362E">
        <w:rPr>
          <w:rFonts w:asciiTheme="minorHAnsi" w:hAnsiTheme="minorHAnsi"/>
        </w:rPr>
        <w:t>o sucesso e a sustentabilidade d</w:t>
      </w:r>
      <w:r w:rsidR="00AB362E">
        <w:rPr>
          <w:rFonts w:asciiTheme="minorHAnsi" w:hAnsiTheme="minorHAnsi"/>
        </w:rPr>
        <w:t>este nov</w:t>
      </w:r>
      <w:r w:rsidR="00AB362E" w:rsidRPr="00AB362E">
        <w:rPr>
          <w:rFonts w:asciiTheme="minorHAnsi" w:hAnsiTheme="minorHAnsi"/>
        </w:rPr>
        <w:t>o catálogo</w:t>
      </w:r>
      <w:r w:rsidR="00AB362E">
        <w:rPr>
          <w:rFonts w:asciiTheme="minorHAnsi" w:hAnsiTheme="minorHAnsi"/>
        </w:rPr>
        <w:t xml:space="preserve"> de experiências turísticas baseadas no PCI</w:t>
      </w:r>
      <w:r w:rsidR="00AB362E" w:rsidRPr="00AB362E">
        <w:rPr>
          <w:rFonts w:asciiTheme="minorHAnsi" w:hAnsiTheme="minorHAnsi"/>
        </w:rPr>
        <w:t>.</w:t>
      </w:r>
    </w:p>
    <w:p w:rsidR="00162C0A" w:rsidRPr="00AB362E" w:rsidRDefault="00162C0A" w:rsidP="00162C0A">
      <w:pPr>
        <w:pStyle w:val="PargrafodaLista"/>
        <w:spacing w:before="120" w:line="276" w:lineRule="auto"/>
        <w:jc w:val="both"/>
        <w:rPr>
          <w:rFonts w:asciiTheme="minorHAnsi" w:hAnsiTheme="minorHAnsi"/>
        </w:rPr>
      </w:pPr>
    </w:p>
    <w:p w:rsidR="00A51E74" w:rsidRPr="00221202" w:rsidRDefault="00221202" w:rsidP="00221202">
      <w:pPr>
        <w:pStyle w:val="PargrafodaLista"/>
        <w:numPr>
          <w:ilvl w:val="0"/>
          <w:numId w:val="3"/>
        </w:numPr>
        <w:spacing w:before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g</w:t>
      </w:r>
      <w:r w:rsidR="00590A66" w:rsidRPr="006A0F5E">
        <w:rPr>
          <w:rFonts w:asciiTheme="minorHAnsi" w:hAnsiTheme="minorHAnsi"/>
        </w:rPr>
        <w:t>estão do catálogo de experiências</w:t>
      </w:r>
      <w:r>
        <w:rPr>
          <w:rFonts w:asciiTheme="minorHAnsi" w:hAnsiTheme="minorHAnsi"/>
        </w:rPr>
        <w:t>, após o encerramento do projeto candidatado,</w:t>
      </w:r>
      <w:r w:rsidR="00590A66" w:rsidRPr="006A0F5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será </w:t>
      </w:r>
      <w:r w:rsidR="006A0F5E" w:rsidRPr="006A0F5E">
        <w:rPr>
          <w:rFonts w:asciiTheme="minorHAnsi" w:hAnsiTheme="minorHAnsi"/>
        </w:rPr>
        <w:t xml:space="preserve">assumida </w:t>
      </w:r>
      <w:r>
        <w:rPr>
          <w:rFonts w:asciiTheme="minorHAnsi" w:hAnsiTheme="minorHAnsi"/>
        </w:rPr>
        <w:t>pelo</w:t>
      </w:r>
      <w:r w:rsidR="004749E5" w:rsidRPr="006A0F5E">
        <w:rPr>
          <w:rFonts w:asciiTheme="minorHAnsi" w:hAnsiTheme="minorHAnsi"/>
        </w:rPr>
        <w:t xml:space="preserve"> Turismo do Alentejo </w:t>
      </w:r>
      <w:r>
        <w:rPr>
          <w:rFonts w:asciiTheme="minorHAnsi" w:hAnsiTheme="minorHAnsi"/>
        </w:rPr>
        <w:t xml:space="preserve">ERT, </w:t>
      </w:r>
      <w:r w:rsidR="004749E5" w:rsidRPr="00221202">
        <w:rPr>
          <w:rFonts w:asciiTheme="minorHAnsi" w:hAnsiTheme="minorHAnsi"/>
        </w:rPr>
        <w:t>com base nos seguintes princípios:</w:t>
      </w:r>
    </w:p>
    <w:p w:rsidR="00A51E74" w:rsidRPr="006A0F5E" w:rsidRDefault="00A51E74" w:rsidP="00221202">
      <w:pPr>
        <w:spacing w:before="120" w:line="276" w:lineRule="auto"/>
        <w:jc w:val="both"/>
        <w:rPr>
          <w:rFonts w:asciiTheme="minorHAnsi" w:hAnsiTheme="minorHAnsi"/>
          <w:u w:val="single"/>
        </w:rPr>
      </w:pPr>
      <w:r w:rsidRPr="006A0F5E">
        <w:rPr>
          <w:rFonts w:asciiTheme="minorHAnsi" w:hAnsiTheme="minorHAnsi"/>
          <w:u w:val="single"/>
        </w:rPr>
        <w:t>Princípio 1 – Estimular a consciência pública do Património</w:t>
      </w:r>
      <w:r w:rsidR="00897DDE" w:rsidRPr="006A0F5E">
        <w:rPr>
          <w:rFonts w:asciiTheme="minorHAnsi" w:hAnsiTheme="minorHAnsi"/>
          <w:u w:val="single"/>
        </w:rPr>
        <w:t xml:space="preserve"> Cultural Imaterial</w:t>
      </w:r>
    </w:p>
    <w:p w:rsidR="00A51E74" w:rsidRPr="00A51E74" w:rsidRDefault="00A51E74" w:rsidP="00221202">
      <w:pPr>
        <w:spacing w:before="120" w:line="276" w:lineRule="auto"/>
        <w:jc w:val="both"/>
        <w:rPr>
          <w:rFonts w:asciiTheme="minorHAnsi" w:hAnsiTheme="minorHAnsi"/>
        </w:rPr>
      </w:pPr>
      <w:r w:rsidRPr="00A51E74">
        <w:rPr>
          <w:rFonts w:asciiTheme="minorHAnsi" w:hAnsiTheme="minorHAnsi"/>
        </w:rPr>
        <w:t xml:space="preserve">Garantir </w:t>
      </w:r>
      <w:r w:rsidR="00590A66">
        <w:rPr>
          <w:rFonts w:asciiTheme="minorHAnsi" w:hAnsiTheme="minorHAnsi"/>
        </w:rPr>
        <w:t xml:space="preserve">a </w:t>
      </w:r>
      <w:r w:rsidR="00897DDE">
        <w:rPr>
          <w:rFonts w:asciiTheme="minorHAnsi" w:hAnsiTheme="minorHAnsi"/>
        </w:rPr>
        <w:t>salvaguarda das expressões culturais</w:t>
      </w:r>
      <w:r w:rsidR="00221202" w:rsidRPr="00221202">
        <w:rPr>
          <w:rFonts w:asciiTheme="minorHAnsi" w:hAnsiTheme="minorHAnsi"/>
        </w:rPr>
        <w:t xml:space="preserve"> </w:t>
      </w:r>
      <w:r w:rsidR="00221202">
        <w:rPr>
          <w:rFonts w:asciiTheme="minorHAnsi" w:hAnsiTheme="minorHAnsi"/>
        </w:rPr>
        <w:t>intangíveis,</w:t>
      </w:r>
      <w:r w:rsidR="00897DDE">
        <w:rPr>
          <w:rFonts w:asciiTheme="minorHAnsi" w:hAnsiTheme="minorHAnsi"/>
        </w:rPr>
        <w:t xml:space="preserve"> de modo </w:t>
      </w:r>
      <w:r w:rsidRPr="00A51E74">
        <w:rPr>
          <w:rFonts w:asciiTheme="minorHAnsi" w:hAnsiTheme="minorHAnsi"/>
        </w:rPr>
        <w:t>a proporcionar ao visitante o conhecimento primário da</w:t>
      </w:r>
      <w:r w:rsidR="00221202">
        <w:rPr>
          <w:rFonts w:asciiTheme="minorHAnsi" w:hAnsiTheme="minorHAnsi"/>
        </w:rPr>
        <w:t xml:space="preserve"> manifestação</w:t>
      </w:r>
      <w:r w:rsidRPr="00A51E74">
        <w:rPr>
          <w:rFonts w:asciiTheme="minorHAnsi" w:hAnsiTheme="minorHAnsi"/>
        </w:rPr>
        <w:t xml:space="preserve"> e património</w:t>
      </w:r>
      <w:r w:rsidR="00221202">
        <w:rPr>
          <w:rFonts w:asciiTheme="minorHAnsi" w:hAnsiTheme="minorHAnsi"/>
        </w:rPr>
        <w:t xml:space="preserve"> cultural </w:t>
      </w:r>
      <w:r w:rsidRPr="00A51E74">
        <w:rPr>
          <w:rFonts w:asciiTheme="minorHAnsi" w:hAnsiTheme="minorHAnsi"/>
        </w:rPr>
        <w:t>da</w:t>
      </w:r>
      <w:r w:rsidR="00221202">
        <w:rPr>
          <w:rFonts w:asciiTheme="minorHAnsi" w:hAnsiTheme="minorHAnsi"/>
        </w:rPr>
        <w:t>s</w:t>
      </w:r>
      <w:r w:rsidRPr="00A51E74">
        <w:rPr>
          <w:rFonts w:asciiTheme="minorHAnsi" w:hAnsiTheme="minorHAnsi"/>
        </w:rPr>
        <w:t xml:space="preserve"> comunidade</w:t>
      </w:r>
      <w:r w:rsidR="00221202">
        <w:rPr>
          <w:rFonts w:asciiTheme="minorHAnsi" w:hAnsiTheme="minorHAnsi"/>
        </w:rPr>
        <w:t>s</w:t>
      </w:r>
      <w:r w:rsidRPr="00A51E74">
        <w:rPr>
          <w:rFonts w:asciiTheme="minorHAnsi" w:hAnsiTheme="minorHAnsi"/>
        </w:rPr>
        <w:t xml:space="preserve"> visitada</w:t>
      </w:r>
      <w:r w:rsidR="00221202">
        <w:rPr>
          <w:rFonts w:asciiTheme="minorHAnsi" w:hAnsiTheme="minorHAnsi"/>
        </w:rPr>
        <w:t>s</w:t>
      </w:r>
      <w:r w:rsidRPr="00A51E74">
        <w:rPr>
          <w:rFonts w:asciiTheme="minorHAnsi" w:hAnsiTheme="minorHAnsi"/>
        </w:rPr>
        <w:t>.</w:t>
      </w:r>
    </w:p>
    <w:p w:rsidR="00A51E74" w:rsidRPr="006A0F5E" w:rsidRDefault="00A51E74" w:rsidP="00221202">
      <w:pPr>
        <w:spacing w:before="120" w:line="276" w:lineRule="auto"/>
        <w:jc w:val="both"/>
        <w:rPr>
          <w:rFonts w:asciiTheme="minorHAnsi" w:hAnsiTheme="minorHAnsi"/>
          <w:u w:val="single"/>
        </w:rPr>
      </w:pPr>
      <w:r w:rsidRPr="006A0F5E">
        <w:rPr>
          <w:rFonts w:asciiTheme="minorHAnsi" w:hAnsiTheme="minorHAnsi"/>
          <w:u w:val="single"/>
        </w:rPr>
        <w:t>Princípio 2 – Gerir relações dinâmicas</w:t>
      </w:r>
    </w:p>
    <w:p w:rsidR="00A51E74" w:rsidRPr="00A51E74" w:rsidRDefault="00A51E74" w:rsidP="00221202">
      <w:pPr>
        <w:spacing w:before="120" w:line="276" w:lineRule="auto"/>
        <w:jc w:val="both"/>
        <w:rPr>
          <w:rFonts w:asciiTheme="minorHAnsi" w:hAnsiTheme="minorHAnsi"/>
        </w:rPr>
      </w:pPr>
      <w:r w:rsidRPr="00A51E74">
        <w:rPr>
          <w:rFonts w:asciiTheme="minorHAnsi" w:hAnsiTheme="minorHAnsi"/>
        </w:rPr>
        <w:t xml:space="preserve">Gerir </w:t>
      </w:r>
      <w:r w:rsidR="00590A66">
        <w:rPr>
          <w:rFonts w:asciiTheme="minorHAnsi" w:hAnsiTheme="minorHAnsi"/>
        </w:rPr>
        <w:t>as expressões culturais</w:t>
      </w:r>
      <w:r w:rsidR="00221202">
        <w:rPr>
          <w:rFonts w:asciiTheme="minorHAnsi" w:hAnsiTheme="minorHAnsi"/>
        </w:rPr>
        <w:t xml:space="preserve"> imateriais </w:t>
      </w:r>
      <w:r w:rsidR="00590A66">
        <w:rPr>
          <w:rFonts w:asciiTheme="minorHAnsi" w:hAnsiTheme="minorHAnsi"/>
        </w:rPr>
        <w:t>do PCI</w:t>
      </w:r>
      <w:r w:rsidRPr="00A51E74">
        <w:rPr>
          <w:rFonts w:asciiTheme="minorHAnsi" w:hAnsiTheme="minorHAnsi"/>
        </w:rPr>
        <w:t xml:space="preserve"> de uma forma sustentada para as gerações atuais e futuras, dirimindo os potenciais valores em conflito.</w:t>
      </w:r>
    </w:p>
    <w:p w:rsidR="00A51E74" w:rsidRPr="006A0F5E" w:rsidRDefault="00A51E74" w:rsidP="00221202">
      <w:pPr>
        <w:spacing w:before="120" w:line="276" w:lineRule="auto"/>
        <w:jc w:val="both"/>
        <w:rPr>
          <w:rFonts w:asciiTheme="minorHAnsi" w:hAnsiTheme="minorHAnsi"/>
          <w:u w:val="single"/>
        </w:rPr>
      </w:pPr>
      <w:r w:rsidRPr="006A0F5E">
        <w:rPr>
          <w:rFonts w:asciiTheme="minorHAnsi" w:hAnsiTheme="minorHAnsi"/>
          <w:u w:val="single"/>
        </w:rPr>
        <w:t>Princípio 3 – Garantir experiências únicas ao visitante</w:t>
      </w:r>
    </w:p>
    <w:p w:rsidR="00A51E74" w:rsidRPr="00A51E74" w:rsidRDefault="00A51E74" w:rsidP="00221202">
      <w:pPr>
        <w:spacing w:before="120" w:line="276" w:lineRule="auto"/>
        <w:jc w:val="both"/>
        <w:rPr>
          <w:rFonts w:asciiTheme="minorHAnsi" w:hAnsiTheme="minorHAnsi"/>
        </w:rPr>
      </w:pPr>
      <w:r w:rsidRPr="00A51E74">
        <w:rPr>
          <w:rFonts w:asciiTheme="minorHAnsi" w:hAnsiTheme="minorHAnsi"/>
        </w:rPr>
        <w:t>Assegurar que a experiência proporcionada ao visitante seja enriquecedora e agradável, garantindo um conjunto de serviços que lhe permita tirar o melhor partido da decisão de visita que antes tomou.</w:t>
      </w:r>
    </w:p>
    <w:p w:rsidR="00A51E74" w:rsidRPr="006A0F5E" w:rsidRDefault="00A51E74" w:rsidP="00221202">
      <w:pPr>
        <w:spacing w:before="120" w:line="276" w:lineRule="auto"/>
        <w:jc w:val="both"/>
        <w:rPr>
          <w:rFonts w:asciiTheme="minorHAnsi" w:hAnsiTheme="minorHAnsi"/>
          <w:u w:val="single"/>
        </w:rPr>
      </w:pPr>
      <w:r w:rsidRPr="006A0F5E">
        <w:rPr>
          <w:rFonts w:asciiTheme="minorHAnsi" w:hAnsiTheme="minorHAnsi"/>
          <w:u w:val="single"/>
        </w:rPr>
        <w:t>Princípio 4 – Envolver a comunidade hospedeira na proteção do património e no acolhimento ao visitante</w:t>
      </w:r>
    </w:p>
    <w:p w:rsidR="00A51E74" w:rsidRPr="00A51E74" w:rsidRDefault="00A51E74" w:rsidP="00221202">
      <w:pPr>
        <w:spacing w:before="120" w:line="276" w:lineRule="auto"/>
        <w:jc w:val="both"/>
        <w:rPr>
          <w:rFonts w:asciiTheme="minorHAnsi" w:hAnsiTheme="minorHAnsi"/>
        </w:rPr>
      </w:pPr>
      <w:r w:rsidRPr="00A51E74">
        <w:rPr>
          <w:rFonts w:asciiTheme="minorHAnsi" w:hAnsiTheme="minorHAnsi"/>
        </w:rPr>
        <w:t xml:space="preserve">Assegurar a participação da comunidade nos processos de </w:t>
      </w:r>
      <w:r w:rsidR="00590A66">
        <w:rPr>
          <w:rFonts w:asciiTheme="minorHAnsi" w:hAnsiTheme="minorHAnsi"/>
        </w:rPr>
        <w:t>salvaguarda,</w:t>
      </w:r>
      <w:r w:rsidRPr="00A51E74">
        <w:rPr>
          <w:rFonts w:asciiTheme="minorHAnsi" w:hAnsiTheme="minorHAnsi"/>
        </w:rPr>
        <w:t xml:space="preserve"> interpretação, valorização e gestão dos recursos </w:t>
      </w:r>
      <w:r w:rsidR="00590A66">
        <w:rPr>
          <w:rFonts w:asciiTheme="minorHAnsi" w:hAnsiTheme="minorHAnsi"/>
        </w:rPr>
        <w:t>baseados no PCI.</w:t>
      </w:r>
    </w:p>
    <w:p w:rsidR="00A51E74" w:rsidRPr="00221202" w:rsidRDefault="00A51E74" w:rsidP="00221202">
      <w:pPr>
        <w:spacing w:before="120" w:line="276" w:lineRule="auto"/>
        <w:jc w:val="both"/>
        <w:rPr>
          <w:rFonts w:asciiTheme="minorHAnsi" w:hAnsiTheme="minorHAnsi"/>
          <w:u w:val="single"/>
        </w:rPr>
      </w:pPr>
      <w:r w:rsidRPr="00221202">
        <w:rPr>
          <w:rFonts w:asciiTheme="minorHAnsi" w:hAnsiTheme="minorHAnsi"/>
          <w:u w:val="single"/>
        </w:rPr>
        <w:t>Princípio 5 – Garantir benefícios económicos, sociais e culturais à comunidade local</w:t>
      </w:r>
    </w:p>
    <w:p w:rsidR="00A51E74" w:rsidRPr="00A51E74" w:rsidRDefault="00A51E74" w:rsidP="00221202">
      <w:pPr>
        <w:spacing w:before="120" w:line="276" w:lineRule="auto"/>
        <w:jc w:val="both"/>
        <w:rPr>
          <w:rFonts w:asciiTheme="minorHAnsi" w:hAnsiTheme="minorHAnsi"/>
        </w:rPr>
      </w:pPr>
      <w:r w:rsidRPr="00A51E74">
        <w:rPr>
          <w:rFonts w:asciiTheme="minorHAnsi" w:hAnsiTheme="minorHAnsi"/>
        </w:rPr>
        <w:t>Garantir que as atividades do turismo</w:t>
      </w:r>
      <w:r w:rsidR="00221202">
        <w:rPr>
          <w:rFonts w:asciiTheme="minorHAnsi" w:hAnsiTheme="minorHAnsi"/>
        </w:rPr>
        <w:t xml:space="preserve"> baseadas no PCI</w:t>
      </w:r>
      <w:r w:rsidRPr="00A51E74">
        <w:rPr>
          <w:rFonts w:asciiTheme="minorHAnsi" w:hAnsiTheme="minorHAnsi"/>
        </w:rPr>
        <w:t xml:space="preserve"> possam beneficiar a comunidade residente, por exemplo ao nível da formação e emprego local para a </w:t>
      </w:r>
      <w:r w:rsidR="00590A66">
        <w:rPr>
          <w:rFonts w:asciiTheme="minorHAnsi" w:hAnsiTheme="minorHAnsi"/>
        </w:rPr>
        <w:t xml:space="preserve">criação de iniciativas locais de </w:t>
      </w:r>
      <w:r w:rsidRPr="00A51E74">
        <w:rPr>
          <w:rFonts w:asciiTheme="minorHAnsi" w:hAnsiTheme="minorHAnsi"/>
        </w:rPr>
        <w:t xml:space="preserve">interpretação </w:t>
      </w:r>
      <w:r w:rsidR="00590A66">
        <w:rPr>
          <w:rFonts w:asciiTheme="minorHAnsi" w:hAnsiTheme="minorHAnsi"/>
        </w:rPr>
        <w:t>do PCI e de geração de negócios com base na valorização do PCI de que é detentora.</w:t>
      </w:r>
    </w:p>
    <w:p w:rsidR="00A51E74" w:rsidRPr="006A0F5E" w:rsidRDefault="00A51E74" w:rsidP="00221202">
      <w:pPr>
        <w:spacing w:before="120" w:line="276" w:lineRule="auto"/>
        <w:jc w:val="both"/>
        <w:rPr>
          <w:rFonts w:asciiTheme="minorHAnsi" w:hAnsiTheme="minorHAnsi"/>
          <w:u w:val="single"/>
        </w:rPr>
      </w:pPr>
      <w:r w:rsidRPr="006A0F5E">
        <w:rPr>
          <w:rFonts w:asciiTheme="minorHAnsi" w:hAnsiTheme="minorHAnsi"/>
          <w:u w:val="single"/>
        </w:rPr>
        <w:t>Princípio 6 – Desenvolver Programas de Promoção Turística Responsável</w:t>
      </w:r>
    </w:p>
    <w:p w:rsidR="00A51E74" w:rsidRDefault="00A51E74" w:rsidP="00221202">
      <w:pPr>
        <w:spacing w:before="120" w:line="276" w:lineRule="auto"/>
        <w:jc w:val="both"/>
        <w:rPr>
          <w:rFonts w:asciiTheme="minorHAnsi" w:hAnsiTheme="minorHAnsi"/>
        </w:rPr>
      </w:pPr>
      <w:r w:rsidRPr="006A0F5E">
        <w:rPr>
          <w:rFonts w:asciiTheme="minorHAnsi" w:hAnsiTheme="minorHAnsi"/>
        </w:rPr>
        <w:t xml:space="preserve">Garantir que os programas de promoção turística asseguram a integridade das características </w:t>
      </w:r>
      <w:r w:rsidR="00590A66" w:rsidRPr="006A0F5E">
        <w:rPr>
          <w:rFonts w:asciiTheme="minorHAnsi" w:hAnsiTheme="minorHAnsi"/>
        </w:rPr>
        <w:t xml:space="preserve">das expressões culturais </w:t>
      </w:r>
      <w:r w:rsidRPr="006A0F5E">
        <w:rPr>
          <w:rFonts w:asciiTheme="minorHAnsi" w:hAnsiTheme="minorHAnsi"/>
        </w:rPr>
        <w:t>de maneira a distribuir os fluxos de forma harmoniosa pelo território e a garantir uma promoção e venda de produtos locais que garantam uma distribuição equilibrada dos proveitos económicos daí resultantes.</w:t>
      </w:r>
    </w:p>
    <w:p w:rsidR="00162C0A" w:rsidRDefault="00162C0A" w:rsidP="00221202">
      <w:pPr>
        <w:spacing w:before="120" w:line="276" w:lineRule="auto"/>
        <w:jc w:val="both"/>
        <w:rPr>
          <w:rFonts w:asciiTheme="minorHAnsi" w:hAnsiTheme="minorHAnsi"/>
        </w:rPr>
      </w:pPr>
    </w:p>
    <w:p w:rsidR="00AB362E" w:rsidRDefault="00AB362E" w:rsidP="00C677EB">
      <w:pPr>
        <w:pStyle w:val="PargrafodaLista"/>
        <w:numPr>
          <w:ilvl w:val="0"/>
          <w:numId w:val="3"/>
        </w:numPr>
        <w:spacing w:before="120" w:line="276" w:lineRule="auto"/>
        <w:jc w:val="both"/>
        <w:rPr>
          <w:rFonts w:asciiTheme="minorHAnsi" w:hAnsiTheme="minorHAnsi"/>
        </w:rPr>
      </w:pPr>
      <w:r w:rsidRPr="00AB362E">
        <w:rPr>
          <w:rFonts w:asciiTheme="minorHAnsi" w:hAnsiTheme="minorHAnsi"/>
        </w:rPr>
        <w:t>Finalmente, o</w:t>
      </w:r>
      <w:r w:rsidR="003D67EB" w:rsidRPr="00AB362E">
        <w:rPr>
          <w:rFonts w:asciiTheme="minorHAnsi" w:hAnsiTheme="minorHAnsi"/>
        </w:rPr>
        <w:t>utra das premissas para a sustentabilidade</w:t>
      </w:r>
      <w:r w:rsidRPr="00AB362E">
        <w:rPr>
          <w:rFonts w:asciiTheme="minorHAnsi" w:hAnsiTheme="minorHAnsi"/>
        </w:rPr>
        <w:t xml:space="preserve"> futura</w:t>
      </w:r>
      <w:r w:rsidR="003D67EB" w:rsidRPr="00AB362E">
        <w:rPr>
          <w:rFonts w:asciiTheme="minorHAnsi" w:hAnsiTheme="minorHAnsi"/>
        </w:rPr>
        <w:t xml:space="preserve"> d</w:t>
      </w:r>
      <w:r w:rsidRPr="00AB362E">
        <w:rPr>
          <w:rFonts w:asciiTheme="minorHAnsi" w:hAnsiTheme="minorHAnsi"/>
        </w:rPr>
        <w:t>este catálogo de</w:t>
      </w:r>
      <w:r w:rsidR="003D67EB" w:rsidRPr="00AB362E">
        <w:rPr>
          <w:rFonts w:asciiTheme="minorHAnsi" w:hAnsiTheme="minorHAnsi"/>
        </w:rPr>
        <w:t xml:space="preserve"> </w:t>
      </w:r>
      <w:r w:rsidRPr="00AB362E">
        <w:rPr>
          <w:rFonts w:asciiTheme="minorHAnsi" w:hAnsiTheme="minorHAnsi"/>
        </w:rPr>
        <w:t>experiências turísticas baseadas no PCI reside n</w:t>
      </w:r>
      <w:r w:rsidR="003D67EB" w:rsidRPr="00AB362E">
        <w:rPr>
          <w:rFonts w:asciiTheme="minorHAnsi" w:hAnsiTheme="minorHAnsi"/>
        </w:rPr>
        <w:t>a</w:t>
      </w:r>
      <w:r w:rsidRPr="00AB362E">
        <w:rPr>
          <w:rFonts w:asciiTheme="minorHAnsi" w:hAnsiTheme="minorHAnsi"/>
        </w:rPr>
        <w:t xml:space="preserve"> garantia de uma</w:t>
      </w:r>
      <w:r w:rsidR="003D67EB" w:rsidRPr="00AB362E">
        <w:rPr>
          <w:rFonts w:asciiTheme="minorHAnsi" w:hAnsiTheme="minorHAnsi"/>
        </w:rPr>
        <w:t xml:space="preserve"> renovação continuada das parcerias </w:t>
      </w:r>
      <w:r w:rsidRPr="00AB362E">
        <w:rPr>
          <w:rFonts w:asciiTheme="minorHAnsi" w:hAnsiTheme="minorHAnsi"/>
        </w:rPr>
        <w:t xml:space="preserve">estabelecidas </w:t>
      </w:r>
      <w:r w:rsidR="003D67EB" w:rsidRPr="00AB362E">
        <w:rPr>
          <w:rFonts w:asciiTheme="minorHAnsi" w:hAnsiTheme="minorHAnsi"/>
        </w:rPr>
        <w:t>com instituições responsáveis por planos de salvaguarda dos PCI: Direção Geral do Património Cultural, que gere o Catálogo Nacional do PCI, Comissão Nacional da UNESCO, Secção do Património Cultural Imaterial da UNESCO.</w:t>
      </w:r>
      <w:r w:rsidRPr="00AB362E">
        <w:rPr>
          <w:rFonts w:asciiTheme="minorHAnsi" w:hAnsiTheme="minorHAnsi"/>
        </w:rPr>
        <w:t xml:space="preserve"> Deste modo, pretende-se assegurar um acompanhamento regular das várias iniciativas que integram o catálogo, garantindo que esta cumprem requisitos específicos, nomeadamente, em termos de:</w:t>
      </w:r>
      <w:r>
        <w:rPr>
          <w:rFonts w:asciiTheme="minorHAnsi" w:hAnsiTheme="minorHAnsi"/>
        </w:rPr>
        <w:t xml:space="preserve"> </w:t>
      </w:r>
    </w:p>
    <w:p w:rsidR="005D4102" w:rsidRDefault="005D4102" w:rsidP="005D4102">
      <w:pPr>
        <w:pStyle w:val="PargrafodaLista"/>
        <w:numPr>
          <w:ilvl w:val="1"/>
          <w:numId w:val="5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 w:rsidRPr="00AB362E">
        <w:rPr>
          <w:rFonts w:asciiTheme="minorHAnsi" w:hAnsiTheme="minorHAnsi"/>
        </w:rPr>
        <w:t>monitorização</w:t>
      </w:r>
      <w:proofErr w:type="gramEnd"/>
      <w:r w:rsidRPr="00AB362E">
        <w:rPr>
          <w:rFonts w:asciiTheme="minorHAnsi" w:hAnsiTheme="minorHAnsi"/>
        </w:rPr>
        <w:t xml:space="preserve"> do uso e do acesso turístico às diversas </w:t>
      </w:r>
      <w:r>
        <w:rPr>
          <w:rFonts w:asciiTheme="minorHAnsi" w:hAnsiTheme="minorHAnsi"/>
        </w:rPr>
        <w:t>manifestações culturais de natureza intangível que se encontram inseridas no catálogo de experiências turísticas baseadas no PCI do Alentejo e Ribatejo</w:t>
      </w:r>
      <w:r>
        <w:rPr>
          <w:rFonts w:asciiTheme="minorHAnsi" w:hAnsiTheme="minorHAnsi"/>
        </w:rPr>
        <w:t>;</w:t>
      </w:r>
    </w:p>
    <w:p w:rsidR="005D4102" w:rsidRDefault="005D4102" w:rsidP="005D4102">
      <w:pPr>
        <w:pStyle w:val="PargrafodaLista"/>
        <w:numPr>
          <w:ilvl w:val="1"/>
          <w:numId w:val="5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monitorização</w:t>
      </w:r>
      <w:proofErr w:type="gramEnd"/>
      <w:r>
        <w:rPr>
          <w:rFonts w:asciiTheme="minorHAnsi" w:hAnsiTheme="minorHAnsi"/>
        </w:rPr>
        <w:t xml:space="preserve"> dos efeitos induzidos na imagem, visibilidade e atratividade dos destinos turísticos do Alentejo e Ribatejo;</w:t>
      </w:r>
    </w:p>
    <w:p w:rsidR="005D4102" w:rsidRPr="00AB362E" w:rsidRDefault="005D4102" w:rsidP="005D4102">
      <w:pPr>
        <w:pStyle w:val="PargrafodaLista"/>
        <w:numPr>
          <w:ilvl w:val="1"/>
          <w:numId w:val="5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monitorização</w:t>
      </w:r>
      <w:proofErr w:type="gramEnd"/>
      <w:r>
        <w:rPr>
          <w:rFonts w:asciiTheme="minorHAnsi" w:hAnsiTheme="minorHAnsi"/>
        </w:rPr>
        <w:t xml:space="preserve"> do nível de cooperação entre os parceiros da operação;</w:t>
      </w:r>
    </w:p>
    <w:p w:rsidR="005D4102" w:rsidRDefault="005D4102" w:rsidP="005D4102">
      <w:pPr>
        <w:pStyle w:val="PargrafodaLista"/>
        <w:numPr>
          <w:ilvl w:val="1"/>
          <w:numId w:val="5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apoio</w:t>
      </w:r>
      <w:proofErr w:type="gramEnd"/>
      <w:r>
        <w:rPr>
          <w:rFonts w:asciiTheme="minorHAnsi" w:hAnsiTheme="minorHAnsi"/>
        </w:rPr>
        <w:t xml:space="preserve">/acompanhamento na </w:t>
      </w:r>
      <w:r w:rsidRPr="00AB362E">
        <w:rPr>
          <w:rFonts w:asciiTheme="minorHAnsi" w:hAnsiTheme="minorHAnsi"/>
        </w:rPr>
        <w:t>criação de referenciais de acreditação para experiências turísticas baseadas no PCI;</w:t>
      </w:r>
    </w:p>
    <w:p w:rsidR="00AB362E" w:rsidRDefault="00AB362E" w:rsidP="00AB362E">
      <w:pPr>
        <w:pStyle w:val="PargrafodaLista"/>
        <w:numPr>
          <w:ilvl w:val="1"/>
          <w:numId w:val="5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 w:rsidRPr="00AB362E">
        <w:rPr>
          <w:rFonts w:asciiTheme="minorHAnsi" w:hAnsiTheme="minorHAnsi"/>
        </w:rPr>
        <w:t>sensibilização</w:t>
      </w:r>
      <w:proofErr w:type="gramEnd"/>
      <w:r w:rsidRPr="00AB362E">
        <w:rPr>
          <w:rFonts w:asciiTheme="minorHAnsi" w:hAnsiTheme="minorHAnsi"/>
        </w:rPr>
        <w:t xml:space="preserve"> para os princípios gerais de respeito e defesa da autenticidade e da pertença às comunidades locais do PCI inventariado e objeto de promoção turística;</w:t>
      </w:r>
    </w:p>
    <w:p w:rsidR="005D4102" w:rsidRPr="005D4102" w:rsidRDefault="00AB362E" w:rsidP="005D4102">
      <w:pPr>
        <w:pStyle w:val="PargrafodaLista"/>
        <w:numPr>
          <w:ilvl w:val="1"/>
          <w:numId w:val="5"/>
        </w:numPr>
        <w:spacing w:before="120" w:line="276" w:lineRule="auto"/>
        <w:jc w:val="both"/>
        <w:rPr>
          <w:rFonts w:asciiTheme="minorHAnsi" w:hAnsiTheme="minorHAnsi"/>
        </w:rPr>
      </w:pPr>
      <w:proofErr w:type="gramStart"/>
      <w:r w:rsidRPr="00AB362E">
        <w:rPr>
          <w:rFonts w:asciiTheme="minorHAnsi" w:hAnsiTheme="minorHAnsi"/>
        </w:rPr>
        <w:t>aplicação</w:t>
      </w:r>
      <w:proofErr w:type="gramEnd"/>
      <w:r w:rsidRPr="00AB362E">
        <w:rPr>
          <w:rFonts w:asciiTheme="minorHAnsi" w:hAnsiTheme="minorHAnsi"/>
        </w:rPr>
        <w:t xml:space="preserve"> da legislação</w:t>
      </w:r>
      <w:r>
        <w:rPr>
          <w:rFonts w:asciiTheme="minorHAnsi" w:hAnsiTheme="minorHAnsi"/>
        </w:rPr>
        <w:t>, nacional e internacional</w:t>
      </w:r>
      <w:r w:rsidRPr="00AB362E">
        <w:rPr>
          <w:rFonts w:asciiTheme="minorHAnsi" w:hAnsiTheme="minorHAnsi"/>
        </w:rPr>
        <w:t xml:space="preserve"> de salvaguarda e proteção do PCI inventariado no â</w:t>
      </w:r>
      <w:bookmarkStart w:id="0" w:name="_GoBack"/>
      <w:bookmarkEnd w:id="0"/>
      <w:r w:rsidR="005D4102">
        <w:rPr>
          <w:rFonts w:asciiTheme="minorHAnsi" w:hAnsiTheme="minorHAnsi"/>
        </w:rPr>
        <w:t>mbito da sua promoção turística.</w:t>
      </w:r>
    </w:p>
    <w:sectPr w:rsidR="005D4102" w:rsidRPr="005D4102" w:rsidSect="0038236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C0A" w:rsidRDefault="00162C0A" w:rsidP="00162C0A">
      <w:r>
        <w:separator/>
      </w:r>
    </w:p>
  </w:endnote>
  <w:endnote w:type="continuationSeparator" w:id="0">
    <w:p w:rsidR="00162C0A" w:rsidRDefault="00162C0A" w:rsidP="0016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425207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162C0A" w:rsidRPr="00162C0A" w:rsidRDefault="00162C0A">
        <w:pPr>
          <w:pStyle w:val="Rodap"/>
          <w:jc w:val="right"/>
          <w:rPr>
            <w:rFonts w:asciiTheme="minorHAnsi" w:hAnsiTheme="minorHAnsi"/>
          </w:rPr>
        </w:pPr>
        <w:r w:rsidRPr="00162C0A">
          <w:rPr>
            <w:rFonts w:asciiTheme="minorHAnsi" w:hAnsiTheme="minorHAnsi"/>
          </w:rPr>
          <w:fldChar w:fldCharType="begin"/>
        </w:r>
        <w:r w:rsidRPr="00162C0A">
          <w:rPr>
            <w:rFonts w:asciiTheme="minorHAnsi" w:hAnsiTheme="minorHAnsi"/>
          </w:rPr>
          <w:instrText>PAGE   \* MERGEFORMAT</w:instrText>
        </w:r>
        <w:r w:rsidRPr="00162C0A">
          <w:rPr>
            <w:rFonts w:asciiTheme="minorHAnsi" w:hAnsiTheme="minorHAnsi"/>
          </w:rPr>
          <w:fldChar w:fldCharType="separate"/>
        </w:r>
        <w:r w:rsidR="005D4102">
          <w:rPr>
            <w:rFonts w:asciiTheme="minorHAnsi" w:hAnsiTheme="minorHAnsi"/>
            <w:noProof/>
          </w:rPr>
          <w:t>3</w:t>
        </w:r>
        <w:r w:rsidRPr="00162C0A">
          <w:rPr>
            <w:rFonts w:asciiTheme="minorHAnsi" w:hAnsiTheme="minorHAnsi"/>
          </w:rPr>
          <w:fldChar w:fldCharType="end"/>
        </w:r>
      </w:p>
    </w:sdtContent>
  </w:sdt>
  <w:p w:rsidR="00162C0A" w:rsidRDefault="00162C0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C0A" w:rsidRDefault="00162C0A" w:rsidP="00162C0A">
      <w:r>
        <w:separator/>
      </w:r>
    </w:p>
  </w:footnote>
  <w:footnote w:type="continuationSeparator" w:id="0">
    <w:p w:rsidR="00162C0A" w:rsidRDefault="00162C0A" w:rsidP="00162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12D3"/>
    <w:multiLevelType w:val="hybridMultilevel"/>
    <w:tmpl w:val="B616E222"/>
    <w:lvl w:ilvl="0" w:tplc="D29406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81145"/>
    <w:multiLevelType w:val="hybridMultilevel"/>
    <w:tmpl w:val="6BC6096E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02693"/>
    <w:multiLevelType w:val="hybridMultilevel"/>
    <w:tmpl w:val="60168F4C"/>
    <w:lvl w:ilvl="0" w:tplc="059ED83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D44CEBD8">
      <w:start w:val="1"/>
      <w:numFmt w:val="lowerRoman"/>
      <w:lvlText w:val="(%2)"/>
      <w:lvlJc w:val="left"/>
      <w:pPr>
        <w:ind w:left="1440" w:hanging="72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3207D3"/>
    <w:multiLevelType w:val="hybridMultilevel"/>
    <w:tmpl w:val="BC883EC4"/>
    <w:lvl w:ilvl="0" w:tplc="059ED83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A13C3"/>
    <w:multiLevelType w:val="hybridMultilevel"/>
    <w:tmpl w:val="CA04717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0B"/>
    <w:rsid w:val="00053C0B"/>
    <w:rsid w:val="00162C0A"/>
    <w:rsid w:val="00195DD6"/>
    <w:rsid w:val="001B307A"/>
    <w:rsid w:val="00221202"/>
    <w:rsid w:val="003340D8"/>
    <w:rsid w:val="003540F1"/>
    <w:rsid w:val="00382369"/>
    <w:rsid w:val="00391340"/>
    <w:rsid w:val="003A0B82"/>
    <w:rsid w:val="003D67EB"/>
    <w:rsid w:val="0040714F"/>
    <w:rsid w:val="004749E5"/>
    <w:rsid w:val="004F1AEB"/>
    <w:rsid w:val="005257ED"/>
    <w:rsid w:val="005857B1"/>
    <w:rsid w:val="00590A66"/>
    <w:rsid w:val="005D4102"/>
    <w:rsid w:val="0061227E"/>
    <w:rsid w:val="006A0F5E"/>
    <w:rsid w:val="00705E29"/>
    <w:rsid w:val="00897DDE"/>
    <w:rsid w:val="009A782F"/>
    <w:rsid w:val="009D5162"/>
    <w:rsid w:val="00A51E74"/>
    <w:rsid w:val="00AB362E"/>
    <w:rsid w:val="00AF4C6C"/>
    <w:rsid w:val="00C3773A"/>
    <w:rsid w:val="00CE54A8"/>
    <w:rsid w:val="00E61DC3"/>
    <w:rsid w:val="00F6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E57FA-C939-449F-B0E0-2CACF5F1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0F1"/>
    <w:rPr>
      <w:sz w:val="24"/>
    </w:rPr>
  </w:style>
  <w:style w:type="paragraph" w:styleId="Cabealho1">
    <w:name w:val="heading 1"/>
    <w:basedOn w:val="Normal"/>
    <w:next w:val="Normal"/>
    <w:link w:val="Cabealho1Carter"/>
    <w:qFormat/>
    <w:rsid w:val="003540F1"/>
    <w:pPr>
      <w:keepNext/>
      <w:outlineLvl w:val="0"/>
    </w:pPr>
    <w:rPr>
      <w:rFonts w:ascii="Verdana" w:hAnsi="Verdana"/>
      <w:b/>
      <w:bCs/>
      <w:sz w:val="20"/>
    </w:rPr>
  </w:style>
  <w:style w:type="paragraph" w:styleId="Cabealho2">
    <w:name w:val="heading 2"/>
    <w:basedOn w:val="Normal"/>
    <w:next w:val="Normal"/>
    <w:link w:val="Cabealho2Carter"/>
    <w:qFormat/>
    <w:rsid w:val="003540F1"/>
    <w:pPr>
      <w:keepNext/>
      <w:outlineLvl w:val="1"/>
    </w:pPr>
    <w:rPr>
      <w:rFonts w:ascii="Verdana" w:hAnsi="Verdana"/>
      <w:b/>
      <w:bCs/>
      <w:sz w:val="18"/>
    </w:rPr>
  </w:style>
  <w:style w:type="paragraph" w:styleId="Cabealho3">
    <w:name w:val="heading 3"/>
    <w:basedOn w:val="Normal"/>
    <w:next w:val="Normal"/>
    <w:link w:val="Cabealho3Carter"/>
    <w:qFormat/>
    <w:rsid w:val="003540F1"/>
    <w:pPr>
      <w:keepNext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ter"/>
    <w:uiPriority w:val="11"/>
    <w:qFormat/>
    <w:rsid w:val="003540F1"/>
    <w:pPr>
      <w:spacing w:after="60"/>
      <w:jc w:val="center"/>
      <w:outlineLvl w:val="1"/>
    </w:pPr>
    <w:rPr>
      <w:rFonts w:ascii="Cambria" w:eastAsiaTheme="majorEastAsia" w:hAnsi="Cambria" w:cstheme="majorBidi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3540F1"/>
    <w:rPr>
      <w:rFonts w:ascii="Cambria" w:eastAsiaTheme="majorEastAsia" w:hAnsi="Cambria" w:cstheme="majorBidi"/>
      <w:sz w:val="24"/>
      <w:szCs w:val="24"/>
    </w:rPr>
  </w:style>
  <w:style w:type="character" w:customStyle="1" w:styleId="Cabealho1Carter">
    <w:name w:val="Cabeçalho 1 Caráter"/>
    <w:basedOn w:val="Tipodeletrapredefinidodopargrafo"/>
    <w:link w:val="Cabealho1"/>
    <w:rsid w:val="003540F1"/>
    <w:rPr>
      <w:rFonts w:ascii="Verdana" w:hAnsi="Verdana"/>
      <w:b/>
      <w:bCs/>
      <w:lang w:eastAsia="pt-PT"/>
    </w:rPr>
  </w:style>
  <w:style w:type="character" w:customStyle="1" w:styleId="Cabealho2Carter">
    <w:name w:val="Cabeçalho 2 Caráter"/>
    <w:basedOn w:val="Tipodeletrapredefinidodopargrafo"/>
    <w:link w:val="Cabealho2"/>
    <w:rsid w:val="003540F1"/>
    <w:rPr>
      <w:rFonts w:ascii="Verdana" w:hAnsi="Verdana"/>
      <w:b/>
      <w:bCs/>
      <w:sz w:val="18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rsid w:val="003540F1"/>
    <w:rPr>
      <w:rFonts w:ascii="Arial" w:eastAsia="Arial Unicode MS" w:hAnsi="Arial" w:cs="Arial"/>
      <w:b/>
      <w:bCs/>
      <w:sz w:val="26"/>
      <w:szCs w:val="26"/>
      <w:lang w:eastAsia="pt-PT"/>
    </w:rPr>
  </w:style>
  <w:style w:type="paragraph" w:customStyle="1" w:styleId="NoSpacing1">
    <w:name w:val="No Spacing1"/>
    <w:uiPriority w:val="1"/>
    <w:qFormat/>
    <w:rsid w:val="003540F1"/>
    <w:rPr>
      <w:rFonts w:ascii="Calibri" w:hAnsi="Calibri"/>
      <w:sz w:val="22"/>
      <w:szCs w:val="22"/>
    </w:rPr>
  </w:style>
  <w:style w:type="paragraph" w:styleId="PargrafodaLista">
    <w:name w:val="List Paragraph"/>
    <w:basedOn w:val="Normal"/>
    <w:qFormat/>
    <w:rsid w:val="003D67EB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162C0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62C0A"/>
    <w:rPr>
      <w:sz w:val="24"/>
    </w:rPr>
  </w:style>
  <w:style w:type="paragraph" w:styleId="Rodap">
    <w:name w:val="footer"/>
    <w:basedOn w:val="Normal"/>
    <w:link w:val="RodapCarter"/>
    <w:uiPriority w:val="99"/>
    <w:unhideWhenUsed/>
    <w:rsid w:val="00162C0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62C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8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973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Nome da empresa</Company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Nome de utilizador</dc:creator>
  <cp:keywords/>
  <dc:description/>
  <cp:lastModifiedBy>Elisa Pérez Babo</cp:lastModifiedBy>
  <cp:revision>4</cp:revision>
  <dcterms:created xsi:type="dcterms:W3CDTF">2016-07-27T15:25:00Z</dcterms:created>
  <dcterms:modified xsi:type="dcterms:W3CDTF">2016-07-27T15:41:00Z</dcterms:modified>
</cp:coreProperties>
</file>